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9F" w:rsidRDefault="00E4329F" w:rsidP="00E4329F">
      <w:pPr>
        <w:spacing w:after="169"/>
      </w:pPr>
      <w:bookmarkStart w:id="0" w:name="_GoBack"/>
      <w:bookmarkEnd w:id="0"/>
      <w:r>
        <w:rPr>
          <w:noProof/>
        </w:rPr>
        <w:drawing>
          <wp:inline distT="0" distB="0" distL="0" distR="0" wp14:anchorId="223BD058" wp14:editId="6BB4825A">
            <wp:extent cx="5295900" cy="73850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ra_fe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FAD" w:rsidRDefault="00773FAD" w:rsidP="00E4329F">
      <w:pPr>
        <w:spacing w:after="94"/>
        <w:ind w:left="1"/>
        <w:rPr>
          <w:b/>
          <w:sz w:val="20"/>
        </w:rPr>
      </w:pPr>
    </w:p>
    <w:p w:rsidR="00E4329F" w:rsidRPr="00D50C38" w:rsidRDefault="00E4329F" w:rsidP="00E4329F">
      <w:pPr>
        <w:spacing w:after="94"/>
        <w:ind w:left="1"/>
        <w:rPr>
          <w:sz w:val="24"/>
        </w:rPr>
      </w:pPr>
      <w:r w:rsidRPr="00D50C38">
        <w:rPr>
          <w:b/>
          <w:sz w:val="20"/>
        </w:rPr>
        <w:t>Designação do Projeto</w:t>
      </w:r>
      <w:r w:rsidRPr="00D50C38">
        <w:rPr>
          <w:color w:val="FF0000"/>
          <w:sz w:val="20"/>
        </w:rPr>
        <w:t>|</w:t>
      </w:r>
      <w:r w:rsidRPr="00D50C38">
        <w:rPr>
          <w:sz w:val="20"/>
        </w:rPr>
        <w:t xml:space="preserve"> TURCOM 2019 - MAIS TURISMO E COMÉRCIO NO DOURO</w:t>
      </w:r>
    </w:p>
    <w:p w:rsidR="00E4329F" w:rsidRPr="00D50C38" w:rsidRDefault="00E4329F" w:rsidP="00E4329F">
      <w:pPr>
        <w:spacing w:after="91"/>
        <w:ind w:left="1"/>
        <w:rPr>
          <w:sz w:val="24"/>
        </w:rPr>
      </w:pPr>
      <w:r w:rsidRPr="00D50C38">
        <w:rPr>
          <w:b/>
          <w:sz w:val="20"/>
        </w:rPr>
        <w:t>Código do Projeto</w:t>
      </w:r>
      <w:r w:rsidRPr="00D50C38">
        <w:rPr>
          <w:color w:val="FF0000"/>
          <w:sz w:val="20"/>
        </w:rPr>
        <w:t>|</w:t>
      </w:r>
      <w:r w:rsidRPr="00D50C38">
        <w:rPr>
          <w:sz w:val="20"/>
        </w:rPr>
        <w:t xml:space="preserve"> NORTE-02-0752-FEDER-000090</w:t>
      </w:r>
    </w:p>
    <w:p w:rsidR="00E4329F" w:rsidRPr="00D50C38" w:rsidRDefault="00E4329F" w:rsidP="00E4329F">
      <w:pPr>
        <w:spacing w:after="2" w:line="359" w:lineRule="auto"/>
        <w:ind w:left="1"/>
        <w:rPr>
          <w:sz w:val="24"/>
        </w:rPr>
      </w:pPr>
      <w:r w:rsidRPr="00D50C38">
        <w:rPr>
          <w:b/>
          <w:sz w:val="20"/>
        </w:rPr>
        <w:t>Objetivo Principal</w:t>
      </w:r>
      <w:r w:rsidRPr="00D50C38">
        <w:rPr>
          <w:color w:val="FF0000"/>
          <w:sz w:val="20"/>
        </w:rPr>
        <w:t>|</w:t>
      </w:r>
      <w:r w:rsidRPr="00D50C38">
        <w:rPr>
          <w:sz w:val="20"/>
        </w:rPr>
        <w:t xml:space="preserve"> Reforço da capacitação das atividades económicas dos setores do comércio a retalho, e restauração e similares, em matéria de definição de estratégias de internacionalização e abordagens de mercado.</w:t>
      </w:r>
    </w:p>
    <w:p w:rsidR="00E4329F" w:rsidRPr="00D50C38" w:rsidRDefault="00E4329F" w:rsidP="00E4329F">
      <w:pPr>
        <w:spacing w:after="91"/>
        <w:ind w:left="1"/>
        <w:rPr>
          <w:sz w:val="24"/>
        </w:rPr>
      </w:pPr>
      <w:r w:rsidRPr="00D50C38">
        <w:rPr>
          <w:b/>
          <w:sz w:val="20"/>
        </w:rPr>
        <w:t>Região de Intervenção</w:t>
      </w:r>
      <w:r w:rsidRPr="00D50C38">
        <w:rPr>
          <w:color w:val="FF0000"/>
          <w:sz w:val="20"/>
        </w:rPr>
        <w:t>|</w:t>
      </w:r>
      <w:r w:rsidRPr="00D50C38">
        <w:rPr>
          <w:sz w:val="20"/>
        </w:rPr>
        <w:t xml:space="preserve"> Norte</w:t>
      </w:r>
    </w:p>
    <w:p w:rsidR="00E4329F" w:rsidRPr="00D50C38" w:rsidRDefault="00E4329F" w:rsidP="00E4329F">
      <w:pPr>
        <w:spacing w:after="211"/>
        <w:ind w:left="1"/>
        <w:rPr>
          <w:sz w:val="24"/>
        </w:rPr>
      </w:pPr>
      <w:r w:rsidRPr="00D50C38">
        <w:rPr>
          <w:b/>
          <w:sz w:val="20"/>
        </w:rPr>
        <w:t>Entidade Beneficiária</w:t>
      </w:r>
      <w:r w:rsidRPr="00D50C38">
        <w:rPr>
          <w:color w:val="FF0000"/>
          <w:sz w:val="20"/>
        </w:rPr>
        <w:t>|</w:t>
      </w:r>
      <w:r w:rsidRPr="00D50C38">
        <w:rPr>
          <w:sz w:val="20"/>
        </w:rPr>
        <w:t xml:space="preserve"> Associação Comercial e Industrial de Vila Real</w:t>
      </w:r>
    </w:p>
    <w:p w:rsidR="00E4329F" w:rsidRPr="00D50C38" w:rsidRDefault="00E4329F" w:rsidP="00E4329F">
      <w:pPr>
        <w:spacing w:after="94"/>
        <w:ind w:left="1"/>
        <w:rPr>
          <w:sz w:val="24"/>
        </w:rPr>
      </w:pPr>
      <w:r w:rsidRPr="00D50C38">
        <w:rPr>
          <w:b/>
          <w:sz w:val="20"/>
        </w:rPr>
        <w:t>Data de Aprovação</w:t>
      </w:r>
      <w:r w:rsidRPr="00D50C38">
        <w:rPr>
          <w:color w:val="FF0000"/>
          <w:sz w:val="20"/>
        </w:rPr>
        <w:t xml:space="preserve">| </w:t>
      </w:r>
      <w:r w:rsidRPr="00D50C38">
        <w:rPr>
          <w:sz w:val="20"/>
        </w:rPr>
        <w:t>04-02-2021</w:t>
      </w:r>
    </w:p>
    <w:p w:rsidR="00E4329F" w:rsidRPr="00D50C38" w:rsidRDefault="00E4329F" w:rsidP="00E4329F">
      <w:pPr>
        <w:spacing w:after="91"/>
        <w:ind w:left="1"/>
        <w:rPr>
          <w:sz w:val="24"/>
        </w:rPr>
      </w:pPr>
      <w:r w:rsidRPr="00D50C38">
        <w:rPr>
          <w:b/>
          <w:sz w:val="20"/>
        </w:rPr>
        <w:t>Data de Início</w:t>
      </w:r>
      <w:r w:rsidRPr="00D50C38">
        <w:rPr>
          <w:color w:val="FF0000"/>
          <w:sz w:val="20"/>
        </w:rPr>
        <w:t xml:space="preserve">| </w:t>
      </w:r>
      <w:r w:rsidRPr="00D50C38">
        <w:rPr>
          <w:sz w:val="20"/>
        </w:rPr>
        <w:t>22-06-2019</w:t>
      </w:r>
    </w:p>
    <w:p w:rsidR="00E4329F" w:rsidRPr="00D50C38" w:rsidRDefault="00E4329F" w:rsidP="00E4329F">
      <w:pPr>
        <w:spacing w:after="211"/>
        <w:ind w:left="1"/>
        <w:rPr>
          <w:sz w:val="24"/>
        </w:rPr>
      </w:pPr>
      <w:r w:rsidRPr="00D50C38">
        <w:rPr>
          <w:b/>
          <w:sz w:val="20"/>
        </w:rPr>
        <w:t>Data de Conclusão</w:t>
      </w:r>
      <w:r w:rsidRPr="00D50C38">
        <w:rPr>
          <w:color w:val="FF0000"/>
          <w:sz w:val="20"/>
        </w:rPr>
        <w:t xml:space="preserve">| </w:t>
      </w:r>
      <w:r w:rsidRPr="00D50C38">
        <w:rPr>
          <w:sz w:val="20"/>
        </w:rPr>
        <w:t>19-06-2022</w:t>
      </w:r>
    </w:p>
    <w:p w:rsidR="00E4329F" w:rsidRPr="00D50C38" w:rsidRDefault="00E4329F" w:rsidP="00E4329F">
      <w:pPr>
        <w:spacing w:after="94"/>
        <w:ind w:left="1"/>
        <w:rPr>
          <w:sz w:val="24"/>
        </w:rPr>
      </w:pPr>
      <w:r w:rsidRPr="00D50C38">
        <w:rPr>
          <w:b/>
          <w:sz w:val="20"/>
        </w:rPr>
        <w:t>Custo Total Elegível</w:t>
      </w:r>
      <w:r w:rsidRPr="00D50C38">
        <w:rPr>
          <w:color w:val="FF0000"/>
          <w:sz w:val="20"/>
        </w:rPr>
        <w:t xml:space="preserve">| </w:t>
      </w:r>
      <w:r w:rsidRPr="00D50C38">
        <w:rPr>
          <w:sz w:val="20"/>
        </w:rPr>
        <w:t>€ 481.750,62€</w:t>
      </w:r>
    </w:p>
    <w:p w:rsidR="00E4329F" w:rsidRPr="00D50C38" w:rsidRDefault="00E4329F" w:rsidP="00E4329F">
      <w:pPr>
        <w:spacing w:after="94"/>
        <w:ind w:left="1"/>
        <w:rPr>
          <w:sz w:val="24"/>
        </w:rPr>
      </w:pPr>
      <w:r w:rsidRPr="00D50C38">
        <w:rPr>
          <w:b/>
          <w:sz w:val="20"/>
        </w:rPr>
        <w:t>Apoio Financeiro da União Europeia</w:t>
      </w:r>
      <w:r w:rsidRPr="00D50C38">
        <w:rPr>
          <w:color w:val="FF0000"/>
          <w:sz w:val="20"/>
        </w:rPr>
        <w:t>|</w:t>
      </w:r>
      <w:r w:rsidRPr="00D50C38">
        <w:rPr>
          <w:sz w:val="20"/>
        </w:rPr>
        <w:t xml:space="preserve"> </w:t>
      </w:r>
      <w:r w:rsidRPr="00D50C38">
        <w:rPr>
          <w:b/>
          <w:sz w:val="20"/>
        </w:rPr>
        <w:t>FEDER</w:t>
      </w:r>
      <w:r w:rsidRPr="00D50C38">
        <w:rPr>
          <w:sz w:val="20"/>
        </w:rPr>
        <w:t>: 409.488,03€</w:t>
      </w:r>
    </w:p>
    <w:p w:rsidR="00E4329F" w:rsidRPr="00D50C38" w:rsidRDefault="00E4329F" w:rsidP="00E4329F">
      <w:pPr>
        <w:ind w:left="1"/>
        <w:rPr>
          <w:sz w:val="24"/>
        </w:rPr>
      </w:pPr>
    </w:p>
    <w:p w:rsidR="00E4329F" w:rsidRPr="00D50C38" w:rsidRDefault="00E4329F" w:rsidP="00E4329F">
      <w:pPr>
        <w:spacing w:after="2" w:line="360" w:lineRule="auto"/>
        <w:ind w:left="1" w:right="34"/>
        <w:rPr>
          <w:sz w:val="24"/>
        </w:rPr>
      </w:pPr>
      <w:r w:rsidRPr="00D50C38">
        <w:rPr>
          <w:b/>
          <w:sz w:val="20"/>
        </w:rPr>
        <w:t>Objetivos</w:t>
      </w:r>
      <w:r w:rsidRPr="00D50C38">
        <w:rPr>
          <w:color w:val="FF0000"/>
          <w:sz w:val="20"/>
        </w:rPr>
        <w:t xml:space="preserve">| </w:t>
      </w:r>
      <w:r w:rsidRPr="00D50C38">
        <w:rPr>
          <w:sz w:val="20"/>
        </w:rPr>
        <w:t>Reforço da capacitação das atividades económicas dos setores do comércio a retalho, e restauração e similares, em matéria de definição de estratégias de internacionalização e abordagens de mercado.</w:t>
      </w:r>
    </w:p>
    <w:p w:rsidR="00E4329F" w:rsidRPr="00D50C38" w:rsidRDefault="00E4329F" w:rsidP="00E4329F">
      <w:pPr>
        <w:spacing w:after="92"/>
        <w:ind w:left="1"/>
        <w:rPr>
          <w:sz w:val="24"/>
        </w:rPr>
      </w:pPr>
    </w:p>
    <w:p w:rsidR="00E4329F" w:rsidRPr="00D50C38" w:rsidRDefault="00E4329F" w:rsidP="00E4329F">
      <w:pPr>
        <w:spacing w:line="360" w:lineRule="auto"/>
        <w:ind w:left="1" w:right="35"/>
        <w:rPr>
          <w:sz w:val="24"/>
        </w:rPr>
      </w:pPr>
      <w:r w:rsidRPr="00D50C38">
        <w:rPr>
          <w:b/>
          <w:sz w:val="20"/>
        </w:rPr>
        <w:t>Atividades</w:t>
      </w:r>
      <w:r w:rsidRPr="00D50C38">
        <w:rPr>
          <w:color w:val="FF0000"/>
          <w:sz w:val="20"/>
        </w:rPr>
        <w:t>|</w:t>
      </w:r>
      <w:r w:rsidRPr="00D50C38">
        <w:rPr>
          <w:sz w:val="20"/>
        </w:rPr>
        <w:t xml:space="preserve"> Implementação de ações das condições envolventes, nomeadamente do aumento da visibilidade da região, que se pretende venha a traduzir-se num aumento do n.º de visitantes, e da capacitação dos pequenos estabelecimentos de comércio tradicional, e também os estabelecimentos restauração e similares, reforço da respetiva capacidade competitiva e progressão na cadeia de valor, bem como o reforço da visibilidade internacional da respetiva oferta</w:t>
      </w:r>
    </w:p>
    <w:p w:rsidR="00E4329F" w:rsidRPr="00D50C38" w:rsidRDefault="00E4329F" w:rsidP="00E4329F">
      <w:pPr>
        <w:spacing w:after="94"/>
        <w:ind w:left="1"/>
        <w:rPr>
          <w:sz w:val="24"/>
        </w:rPr>
      </w:pPr>
    </w:p>
    <w:p w:rsidR="00E4329F" w:rsidRPr="00D50C38" w:rsidRDefault="00E4329F" w:rsidP="00E4329F">
      <w:pPr>
        <w:spacing w:after="91"/>
        <w:ind w:left="1"/>
        <w:rPr>
          <w:sz w:val="24"/>
        </w:rPr>
      </w:pPr>
      <w:r>
        <w:rPr>
          <w:b/>
          <w:sz w:val="20"/>
        </w:rPr>
        <w:t>Resultados/Indicadores</w:t>
      </w:r>
      <w:r>
        <w:rPr>
          <w:color w:val="FF0000"/>
          <w:sz w:val="20"/>
        </w:rPr>
        <w:t xml:space="preserve"> </w:t>
      </w:r>
      <w:r w:rsidRPr="00E4329F">
        <w:rPr>
          <w:color w:val="FF0000"/>
          <w:sz w:val="20"/>
        </w:rPr>
        <w:t>|</w:t>
      </w:r>
    </w:p>
    <w:p w:rsidR="00E4329F" w:rsidRPr="00D50C38" w:rsidRDefault="00E4329F" w:rsidP="00E4329F">
      <w:pPr>
        <w:spacing w:after="2" w:line="359" w:lineRule="auto"/>
        <w:ind w:left="1"/>
        <w:rPr>
          <w:sz w:val="24"/>
        </w:rPr>
      </w:pPr>
      <w:r w:rsidRPr="00D50C38">
        <w:rPr>
          <w:sz w:val="20"/>
        </w:rPr>
        <w:t>-Realização.</w:t>
      </w:r>
      <w:r w:rsidRPr="00D50C38">
        <w:rPr>
          <w:sz w:val="20"/>
        </w:rPr>
        <w:t>03.02.02.P - Ações de promoção externa: N.º 1;</w:t>
      </w:r>
    </w:p>
    <w:p w:rsidR="009B1847" w:rsidRPr="00E4329F" w:rsidRDefault="00E4329F" w:rsidP="00E4329F">
      <w:pPr>
        <w:spacing w:after="2" w:line="359" w:lineRule="auto"/>
        <w:ind w:left="1"/>
        <w:rPr>
          <w:sz w:val="24"/>
        </w:rPr>
      </w:pPr>
      <w:r w:rsidRPr="00D50C38">
        <w:rPr>
          <w:sz w:val="20"/>
        </w:rPr>
        <w:t>-Resultado R.03.02.14.P - Contratos/protocolos firmados relacionados com as ações de promoção externa: N.º 1</w:t>
      </w:r>
    </w:p>
    <w:sectPr w:rsidR="009B1847" w:rsidRPr="00E4329F" w:rsidSect="00773FAD">
      <w:pgSz w:w="11906" w:h="16838"/>
      <w:pgMar w:top="1417" w:right="1701" w:bottom="1417" w:left="1701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9F"/>
    <w:rsid w:val="00773FAD"/>
    <w:rsid w:val="00982E59"/>
    <w:rsid w:val="009B1847"/>
    <w:rsid w:val="00E4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69E8B-AFDC-4CA8-8BBD-8674504B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9F"/>
    <w:rPr>
      <w:rFonts w:ascii="Calibri" w:eastAsia="Calibri" w:hAnsi="Calibri" w:cs="Calibri"/>
      <w:color w:val="00000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4329F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0609-11CA-4B26-B064-1224F572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Chasco</dc:creator>
  <cp:keywords/>
  <dc:description/>
  <cp:lastModifiedBy>Helder Chasco</cp:lastModifiedBy>
  <cp:revision>3</cp:revision>
  <dcterms:created xsi:type="dcterms:W3CDTF">2024-12-05T10:24:00Z</dcterms:created>
  <dcterms:modified xsi:type="dcterms:W3CDTF">2024-12-05T10:31:00Z</dcterms:modified>
</cp:coreProperties>
</file>